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CFD" w:rsidRPr="00017A78" w:rsidRDefault="00061DF7" w:rsidP="00017A78">
      <w:pPr>
        <w:pStyle w:val="Bodytext30"/>
        <w:widowControl/>
        <w:shd w:val="clear" w:color="auto" w:fill="auto"/>
        <w:spacing w:after="38" w:line="240" w:lineRule="auto"/>
        <w:jc w:val="both"/>
        <w:rPr>
          <w:rFonts w:ascii="Times New Roman" w:hAnsi="Times New Roman" w:cs="Times New Roman"/>
        </w:rPr>
      </w:pPr>
      <w:r>
        <w:rPr>
          <w:rFonts w:ascii="Times New Roman" w:hAnsi="Times New Roman"/>
        </w:rPr>
        <w:t>Klimaatactie-simulatie: Conventionele energie</w:t>
      </w:r>
    </w:p>
    <w:p w:rsidR="0010014B" w:rsidRPr="00017A78" w:rsidRDefault="007123EA" w:rsidP="00017A78">
      <w:pPr>
        <w:pStyle w:val="Bodytext30"/>
        <w:widowControl/>
        <w:shd w:val="clear" w:color="auto" w:fill="auto"/>
        <w:spacing w:after="38" w:line="240" w:lineRule="auto"/>
        <w:rPr>
          <w:rFonts w:ascii="Times New Roman" w:hAnsi="Times New Roman" w:cs="Times New Roman"/>
          <w:lang w:val="en-GB"/>
        </w:rPr>
      </w:pPr>
      <w:r w:rsidRPr="007123EA">
        <w:rPr>
          <w:rFonts w:ascii="Times New Roman" w:hAnsi="Times New Roman" w:cs="Times New Roman"/>
          <w:noProof/>
          <w:sz w:val="20"/>
          <w:lang w:val="en-GB"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1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23EA" w:rsidRPr="00260E65" w:rsidRDefault="007123EA">
                            <w:pPr>
                              <w:jc w:val="center"/>
                              <w:rPr>
                                <w:rFonts w:ascii="Arial" w:hAnsi="Arial" w:cs="Arial"/>
                                <w:b/>
                                <w:bCs/>
                                <w:sz w:val="48"/>
                                <w:lang w:val="nl-BE"/>
                              </w:rPr>
                            </w:pPr>
                            <w:r>
                              <w:rPr>
                                <w:rFonts w:ascii="Arial" w:hAnsi="Arial" w:cs="Arial"/>
                                <w:b/>
                                <w:bCs/>
                                <w:sz w:val="48"/>
                                <w:lang w:val="nl-BE"/>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3HDtgIAALo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o5dxw7YCAAC6&#10;BQAADgAAAAAAAAAAAAAAAAAuAgAAZHJzL2Uyb0RvYy54bWxQSwECLQAUAAYACAAAACEA61QxWt4A&#10;AAAPAQAADwAAAAAAAAAAAAAAAAAQBQAAZHJzL2Rvd25yZXYueG1sUEsFBgAAAAAEAAQA8wAAABsG&#10;AAAAAA==&#10;" o:allowincell="f" filled="f" stroked="f">
                <v:textbox>
                  <w:txbxContent>
                    <w:p w:rsidR="007123EA" w:rsidRPr="00260E65" w:rsidRDefault="007123EA">
                      <w:pPr>
                        <w:jc w:val="center"/>
                        <w:rPr>
                          <w:rFonts w:ascii="Arial" w:hAnsi="Arial" w:cs="Arial"/>
                          <w:b/>
                          <w:bCs/>
                          <w:sz w:val="48"/>
                          <w:lang w:val="nl-BE"/>
                        </w:rPr>
                      </w:pPr>
                      <w:r>
                        <w:rPr>
                          <w:rFonts w:ascii="Arial" w:hAnsi="Arial" w:cs="Arial"/>
                          <w:b/>
                          <w:bCs/>
                          <w:sz w:val="48"/>
                          <w:lang w:val="nl-BE"/>
                        </w:rPr>
                        <w:t>NL</w:t>
                      </w:r>
                    </w:p>
                  </w:txbxContent>
                </v:textbox>
                <w10:wrap anchorx="page" anchory="page"/>
              </v:shape>
            </w:pict>
          </mc:Fallback>
        </mc:AlternateContent>
      </w:r>
    </w:p>
    <w:p w:rsidR="00EA7CFD" w:rsidRPr="00017A78" w:rsidRDefault="00061DF7" w:rsidP="008D5DC7">
      <w:pPr>
        <w:pStyle w:val="Bodytext40"/>
        <w:widowControl/>
        <w:shd w:val="clear" w:color="auto" w:fill="auto"/>
        <w:tabs>
          <w:tab w:val="left" w:pos="1440"/>
        </w:tabs>
        <w:spacing w:line="276" w:lineRule="auto"/>
      </w:pPr>
      <w:r>
        <w:t>Aan:</w:t>
      </w:r>
      <w:r>
        <w:tab/>
        <w:t>de hoofdonderhandelaars van de sector conventionele energie</w:t>
      </w:r>
    </w:p>
    <w:p w:rsidR="00EA7CFD" w:rsidRPr="00017A78" w:rsidRDefault="00061DF7" w:rsidP="008D5DC7">
      <w:pPr>
        <w:pStyle w:val="Bodytext40"/>
        <w:widowControl/>
        <w:shd w:val="clear" w:color="auto" w:fill="auto"/>
        <w:tabs>
          <w:tab w:val="left" w:pos="1440"/>
        </w:tabs>
        <w:spacing w:after="120" w:line="276" w:lineRule="auto"/>
      </w:pPr>
      <w:r>
        <w:t>Betreft:</w:t>
      </w:r>
      <w:r>
        <w:tab/>
        <w:t>voorbereiding van de klimaatactietop</w:t>
      </w:r>
    </w:p>
    <w:p w:rsidR="00EA7CFD" w:rsidRPr="00017A78" w:rsidRDefault="00061DF7" w:rsidP="008D5DC7">
      <w:pPr>
        <w:pStyle w:val="Bodytext20"/>
        <w:widowControl/>
        <w:shd w:val="clear" w:color="auto" w:fill="auto"/>
        <w:spacing w:before="0" w:after="120" w:line="276" w:lineRule="auto"/>
        <w:ind w:firstLine="0"/>
        <w:jc w:val="both"/>
      </w:pPr>
      <w:r>
        <w:t xml:space="preserve">Welkom op de klimaatactietop. De secretaris-generaal van de VN heeft jullie uitgenodigd om samen met de leiders van alle andere belanghebbende partijen oplossingen uit te werken voor de bestrijding van de klimaatverandering. In zijn uitnodiging </w:t>
      </w:r>
      <w:r>
        <w:rPr>
          <w:rStyle w:val="Bodytext21"/>
        </w:rPr>
        <w:t>merkte</w:t>
      </w:r>
      <w:r>
        <w:t xml:space="preserve"> de secretaris-generaal het volgende op: “De klimaatnoodtoestand is een race die we aan het verliezen zijn, maar we kunnen deze race ook winnen...  Gerenommeerde wetenschappers vertellen ons dat elke temperatuurstijging boven de 1,5°C zal leiden tot grote en onomkeerbare schade aan onze ecosystemen ... Maar de wetenschap vertelt ons ook dat het niet te laat is.</w:t>
      </w:r>
    </w:p>
    <w:p w:rsidR="00EA7CFD" w:rsidRPr="00017A78" w:rsidRDefault="00061DF7" w:rsidP="008D5DC7">
      <w:pPr>
        <w:pStyle w:val="Bodytext20"/>
        <w:widowControl/>
        <w:shd w:val="clear" w:color="auto" w:fill="auto"/>
        <w:spacing w:before="0" w:after="120" w:line="276" w:lineRule="auto"/>
        <w:ind w:firstLine="0"/>
        <w:jc w:val="both"/>
      </w:pPr>
      <w:r>
        <w:t>Wij kunnen er iets aan doen... Dit vereist echter fundamentele veranderingen in alle aspecten van de samenleving – de manier waarop we voedsel verbouwen, land gebruiken, ons transport aandrijven en onze economieën van energie voorzien ... Door samen te werken, zullen we niemand aan zijn lot overlaten.”</w:t>
      </w:r>
    </w:p>
    <w:p w:rsidR="00EA7CFD" w:rsidRPr="00017A78" w:rsidRDefault="00061DF7" w:rsidP="008D5DC7">
      <w:pPr>
        <w:pStyle w:val="Bodytext20"/>
        <w:widowControl/>
        <w:shd w:val="clear" w:color="auto" w:fill="auto"/>
        <w:spacing w:before="0" w:after="120" w:line="276" w:lineRule="auto"/>
        <w:ind w:firstLine="0"/>
        <w:jc w:val="both"/>
      </w:pPr>
      <w:r>
        <w:t xml:space="preserve">Het doel van de top is een plan op te stellen om de opwarming van de aarde te beperken tot minder dan 2°C [3,6°F] boven het pre-industriële niveau, en te streven naar 1,5°C [2,7°F], overeenkomstig de internationale doelstellingen die formeel zijn erkend in de klimaatovereenkomst van Parijs. Het </w:t>
      </w:r>
      <w:r>
        <w:rPr>
          <w:rStyle w:val="Bodytext21"/>
        </w:rPr>
        <w:t>wetenschappelijk bewijs</w:t>
      </w:r>
      <w:r>
        <w:t xml:space="preserve"> laat hierover geen twijfel bestaan: een opwarming boven deze grens zal rampzalige en onomkeerbare gevolgen hebben die een bedreiging vormen voor de gezondheid, de welvaart en het leven van mensen in alle landen.</w:t>
      </w:r>
    </w:p>
    <w:p w:rsidR="00EA7CFD" w:rsidRPr="00017A78" w:rsidRDefault="00061DF7" w:rsidP="008D5DC7">
      <w:pPr>
        <w:pStyle w:val="Bodytext20"/>
        <w:widowControl/>
        <w:shd w:val="clear" w:color="auto" w:fill="auto"/>
        <w:spacing w:before="0" w:after="120" w:line="276" w:lineRule="auto"/>
        <w:ind w:firstLine="0"/>
        <w:jc w:val="both"/>
      </w:pPr>
      <w:r>
        <w:t>Jullie vertegenwoordigen de steenkool-, olie-, aardgas-, nucleaire en elektriciteitsbedrijven, die momenteel het grootste deel van de energie in de wereld leveren. Jullie groep omvat onder meer beursgenoteerde en nationale olie- en gasmaatschappijen (O&amp;G), steenkoolbedrijven, elektriciteitsbedrijven die afhankelijk zijn van fossiele brandstoffen, en bedrijven die diensten en apparatuur leveren aan deze sectoren.</w:t>
      </w:r>
    </w:p>
    <w:p w:rsidR="00EA7CFD" w:rsidRPr="00017A78" w:rsidRDefault="00061DF7" w:rsidP="008D5DC7">
      <w:pPr>
        <w:pStyle w:val="Bodytext20"/>
        <w:widowControl/>
        <w:shd w:val="clear" w:color="auto" w:fill="auto"/>
        <w:spacing w:before="0" w:after="120" w:line="276" w:lineRule="auto"/>
        <w:ind w:firstLine="0"/>
        <w:jc w:val="both"/>
      </w:pPr>
      <w:r>
        <w:t>De beleidsprioriteiten van jullie groep worden hieronder opgesomd. Jullie kunnen echter elke andere beschikbare beleidsmaatregel voorstellen of blokkeren.</w:t>
      </w:r>
    </w:p>
    <w:p w:rsidR="00EA7CFD" w:rsidRPr="00017A78" w:rsidRDefault="00061DF7" w:rsidP="006D77CF">
      <w:pPr>
        <w:pStyle w:val="Bodytext20"/>
        <w:widowControl/>
        <w:numPr>
          <w:ilvl w:val="0"/>
          <w:numId w:val="1"/>
        </w:numPr>
        <w:shd w:val="clear" w:color="auto" w:fill="auto"/>
        <w:tabs>
          <w:tab w:val="left" w:pos="362"/>
        </w:tabs>
        <w:spacing w:before="0" w:after="120" w:line="276" w:lineRule="auto"/>
        <w:ind w:left="397" w:hanging="397"/>
        <w:jc w:val="both"/>
      </w:pPr>
      <w:r w:rsidRPr="006D77CF">
        <w:rPr>
          <w:rStyle w:val="Bodytext2Bold"/>
          <w:spacing w:val="-2"/>
        </w:rPr>
        <w:t xml:space="preserve">Verwerp een hoge koolstofprijs. </w:t>
      </w:r>
      <w:r w:rsidRPr="006D77CF">
        <w:rPr>
          <w:spacing w:val="-2"/>
        </w:rPr>
        <w:t>Jullie eigen economen erkennen dat een verhoging van de prijzen van fossiele brandstoffen, door de milieu- en sociale kosten van broeikasgasemissies te weerspiegelen in een koolstofprijs, de beste manier kan zijn om de wereldwijde uitstoot terug te dringen. Een koolstofprijs van meer dan 25 à 30 dollar per ton CO</w:t>
      </w:r>
      <w:r w:rsidRPr="006D77CF">
        <w:rPr>
          <w:spacing w:val="-2"/>
          <w:vertAlign w:val="subscript"/>
        </w:rPr>
        <w:t>2</w:t>
      </w:r>
      <w:r w:rsidRPr="006D77CF">
        <w:rPr>
          <w:spacing w:val="-2"/>
        </w:rPr>
        <w:t xml:space="preserve"> zou de </w:t>
      </w:r>
      <w:proofErr w:type="spellStart"/>
      <w:r w:rsidRPr="006D77CF">
        <w:rPr>
          <w:spacing w:val="-2"/>
        </w:rPr>
        <w:t>fossielebrandstoffenindustrie</w:t>
      </w:r>
      <w:proofErr w:type="spellEnd"/>
      <w:r w:rsidRPr="006D77CF">
        <w:rPr>
          <w:spacing w:val="-2"/>
        </w:rPr>
        <w:t xml:space="preserve"> echter onaanvaardbare schade toebrengen als gevolg van stijgende kosten en een dalende</w:t>
      </w:r>
      <w:bookmarkStart w:id="0" w:name="_GoBack"/>
      <w:bookmarkEnd w:id="0"/>
      <w:r w:rsidRPr="006D77CF">
        <w:rPr>
          <w:spacing w:val="-2"/>
        </w:rPr>
        <w:t xml:space="preserve"> vraag, wat ertoe zou leiden dat activa waardeloos worden en de aandeelhouderswaarde daalt. Hoewel sommige oliemaatschappijen publiekelijk verklaren dat zij voorstander zijn van een koolstofprijs, blijft jullie branche politici financieren die zich tegen de koolstofprijs verzetten en pogingen om deze prijs in te voeren blokkeren. De andere groepen zullen druk uitoefenen om een koolstofprijs in te voeren. Neem een krachtig standpunt in tegen dit beleid</w:t>
      </w:r>
      <w:r>
        <w:t>.</w:t>
      </w:r>
    </w:p>
    <w:p w:rsidR="00EA7CFD" w:rsidRPr="00017A78" w:rsidRDefault="00061DF7" w:rsidP="008D5DC7">
      <w:pPr>
        <w:pStyle w:val="Bodytext20"/>
        <w:widowControl/>
        <w:numPr>
          <w:ilvl w:val="0"/>
          <w:numId w:val="1"/>
        </w:numPr>
        <w:shd w:val="clear" w:color="auto" w:fill="auto"/>
        <w:tabs>
          <w:tab w:val="left" w:pos="362"/>
        </w:tabs>
        <w:spacing w:before="0" w:after="120" w:line="276" w:lineRule="auto"/>
        <w:ind w:left="400" w:right="-1"/>
        <w:jc w:val="both"/>
      </w:pPr>
      <w:r>
        <w:rPr>
          <w:rStyle w:val="Bodytext2Bold"/>
        </w:rPr>
        <w:t xml:space="preserve">Verwerp belastingen op fossiele brandstoffen. </w:t>
      </w:r>
      <w:r>
        <w:t xml:space="preserve">Jullie bedrijfstak wil noch gereguleerd worden, noch de kosten van het matigen van de klimaatverandering betalen. Aangezien jullie verwachten de komende eeuw aanzienlijke bedrijfsverliezen te lijden als gevolg van de wereldwijde transitie van fossiele naar hernieuwbare brandstoffen, willen jullie niet ook nog eens opdraaien voor extra kosten die jullie branche op oneerlijke wijze bestraffen. Jullie zouden zelfs kunnen vragen om subsidies voor aardgas, dat jullie als overbruggingsbrandstof kunnen promoten omdat het minder </w:t>
      </w:r>
      <w:r>
        <w:lastRenderedPageBreak/>
        <w:t>koolstofintensief is dan steenkool en olie. Als regulering onvermijdelijk is, is het beter om steenkool te beperken dan olie en gas. Steenkool stoot bij verbranding de meeste koolstof uit en is minder rendabel dan olie en aardgas.</w:t>
      </w:r>
    </w:p>
    <w:p w:rsidR="00934588" w:rsidRPr="00017A78" w:rsidRDefault="00934588" w:rsidP="008D5DC7">
      <w:pPr>
        <w:pStyle w:val="Bodytext20"/>
        <w:widowControl/>
        <w:numPr>
          <w:ilvl w:val="0"/>
          <w:numId w:val="1"/>
        </w:numPr>
        <w:shd w:val="clear" w:color="auto" w:fill="auto"/>
        <w:spacing w:before="0" w:after="120" w:line="276" w:lineRule="auto"/>
        <w:ind w:left="400" w:right="-1"/>
        <w:jc w:val="both"/>
      </w:pPr>
      <w:r>
        <w:rPr>
          <w:b/>
        </w:rPr>
        <w:t>Bevorder nieuwe technologieën, zoals technologieën voor koolstofverwijdering, CCS en biobrandstoffen.</w:t>
      </w:r>
    </w:p>
    <w:p w:rsidR="00EA7CFD" w:rsidRPr="00F534AB" w:rsidRDefault="00061DF7" w:rsidP="008D5DC7">
      <w:pPr>
        <w:pStyle w:val="Bodytext20"/>
        <w:widowControl/>
        <w:shd w:val="clear" w:color="auto" w:fill="auto"/>
        <w:spacing w:before="0" w:after="120" w:line="276" w:lineRule="auto"/>
        <w:ind w:left="400" w:firstLine="0"/>
        <w:jc w:val="both"/>
      </w:pPr>
      <w:r w:rsidRPr="008D5DC7">
        <w:t>Jullie bedrijfstak ondersteunt een groter gebruik van aardgas en biobrandstoffen en onderzoek naar de ontwikkeling van technologieën voor koolstofverwijdering die koolstof uit de atmosfeer verwijderen en deze ondergronds opslaan.</w:t>
      </w:r>
      <w:r w:rsidRPr="008D5DC7">
        <w:rPr>
          <w:iCs/>
        </w:rPr>
        <w:t xml:space="preserve"> Jullie expertise op het gebied van grootschalige engineering, geologie en brandstoftransport kan op deze brandstoffen en industrieën worden toegepast. Jullie zijn voorstander van het afvangen en opslaan van kooldioxide (CCS) voor kolen- en andere energiecentrales, maar ook van biobrandstoffen met CCS. CCS kan 90 % van de CO</w:t>
      </w:r>
      <w:r w:rsidRPr="008D5DC7">
        <w:rPr>
          <w:iCs/>
          <w:vertAlign w:val="subscript"/>
        </w:rPr>
        <w:t>2</w:t>
      </w:r>
      <w:r w:rsidRPr="008D5DC7">
        <w:rPr>
          <w:iCs/>
        </w:rPr>
        <w:t xml:space="preserve"> die vrijkomt</w:t>
      </w:r>
      <w:r w:rsidRPr="008D5DC7">
        <w:t xml:space="preserve"> bij de verbranding van fossiele brandstoffen in elektriciteitscentrales en industriële processen </w:t>
      </w:r>
      <w:r w:rsidRPr="008D5DC7">
        <w:rPr>
          <w:iCs/>
        </w:rPr>
        <w:t>afvangen</w:t>
      </w:r>
      <w:r w:rsidRPr="008D5DC7">
        <w:t>. De CO</w:t>
      </w:r>
      <w:r w:rsidRPr="008D5DC7">
        <w:rPr>
          <w:vertAlign w:val="subscript"/>
        </w:rPr>
        <w:t>2</w:t>
      </w:r>
      <w:r w:rsidRPr="008D5DC7">
        <w:t xml:space="preserve"> kan dan vloeibaar worden gemaakt en ondergronds worden gepompt om de productie van olie en gas te verhogen of, minder rendabel, worden opgeslagen in gegarandeerd stabiele geologische reservoirs. Indien de technologieën voor koolstofverwijdering haalbaar en betaalbaar worden kunnen zij jullie bedrijfstak helpen, omdat de CO</w:t>
      </w:r>
      <w:r w:rsidRPr="008D5DC7">
        <w:rPr>
          <w:vertAlign w:val="subscript"/>
        </w:rPr>
        <w:t>2</w:t>
      </w:r>
      <w:r w:rsidRPr="008D5DC7">
        <w:t xml:space="preserve"> dan uit de atmosfeer kan worden verwijderd waardoor de emissies van het voortgezette gebruik van fossiele brandstoffen worden gecompenseerd</w:t>
      </w:r>
      <w:r>
        <w:t>.</w:t>
      </w:r>
    </w:p>
    <w:p w:rsidR="00EA7CFD" w:rsidRPr="00941B40" w:rsidRDefault="00061DF7" w:rsidP="008D5DC7">
      <w:pPr>
        <w:pStyle w:val="Bodytext20"/>
        <w:widowControl/>
        <w:numPr>
          <w:ilvl w:val="0"/>
          <w:numId w:val="1"/>
        </w:numPr>
        <w:shd w:val="clear" w:color="auto" w:fill="auto"/>
        <w:spacing w:before="0" w:after="120" w:line="276" w:lineRule="auto"/>
        <w:ind w:left="400" w:right="-1"/>
        <w:jc w:val="both"/>
      </w:pPr>
      <w:r>
        <w:rPr>
          <w:b/>
        </w:rPr>
        <w:t>Moedig acties aan die niet rechtstreeks van invloed zijn op jullie bedrijfstak.</w:t>
      </w:r>
      <w:r>
        <w:t xml:space="preserve"> Hoewel jullie beseffen dat de klimaatverandering gevaarlijk is, moeten jullie ook de waarde voor de aandeelhouders beschermen. Pleit daarom voor beleidsmaatregelen die de uitstoot van broeikasgassen kunnen verminderen zonder het gebruik van fossiele brandstoffen terug te dringen. Hoewel de CO</w:t>
      </w:r>
      <w:r>
        <w:rPr>
          <w:vertAlign w:val="subscript"/>
        </w:rPr>
        <w:t>2</w:t>
      </w:r>
      <w:r>
        <w:t xml:space="preserve"> die vrijkomt bij het gebruik van fossiele brandstoffen het meest bijdraagt aan de klimaatverandering, zijn andere gassen, waaronder methaan (CH</w:t>
      </w:r>
      <w:r>
        <w:rPr>
          <w:vertAlign w:val="subscript"/>
        </w:rPr>
        <w:t>4</w:t>
      </w:r>
      <w:r>
        <w:t>) en stikstofoxide (N2</w:t>
      </w:r>
      <w:r>
        <w:rPr>
          <w:vertAlign w:val="subscript"/>
        </w:rPr>
        <w:t>O</w:t>
      </w:r>
      <w:r>
        <w:t>), krachtige broeikasgassen en neemt het effect ervan toe. De wereldwijde land- en bosbouwpraktijken dragen in hoge mate bij aan de uitstoot van deze gassen. Pleit voor een beleid om deze andere broeikasgassen terug te dringen, vooral de emissies als gevolg van landgebruik, landbouw en bosbouw. Ondersteun inspanningen om ontbossing tegen te gaan en om eerder aangetaste en ontboste gronden te bebossen.</w:t>
      </w:r>
    </w:p>
    <w:p w:rsidR="00EA7CFD" w:rsidRPr="00017A78" w:rsidRDefault="00061DF7" w:rsidP="008D5DC7">
      <w:pPr>
        <w:pStyle w:val="Bodytext60"/>
        <w:widowControl/>
        <w:shd w:val="clear" w:color="auto" w:fill="auto"/>
        <w:spacing w:before="0" w:after="120" w:line="276" w:lineRule="auto"/>
      </w:pPr>
      <w:r>
        <w:t>Aanvullende overwegingen</w:t>
      </w:r>
    </w:p>
    <w:p w:rsidR="00EA7CFD" w:rsidRPr="00017A78" w:rsidRDefault="00061DF7" w:rsidP="008D5DC7">
      <w:pPr>
        <w:pStyle w:val="Bodytext20"/>
        <w:widowControl/>
        <w:shd w:val="clear" w:color="auto" w:fill="auto"/>
        <w:spacing w:before="0" w:after="120" w:line="276" w:lineRule="auto"/>
        <w:ind w:firstLine="0"/>
        <w:jc w:val="both"/>
      </w:pPr>
      <w:r>
        <w:t>Jullie eigen klimaatdeskundigen zijn het eens met de beoordeling van de Intergouvernementele Werkgroep inzake klimaatverandering (IPCC) over de dreiging van klimaatverandering. Jullie moeten echter een evenwicht zien te vinden tussen enerzijds de noodzaak om een gevaarlijke klimaatverandering te voorkomen en anderzijds de behoeften van jullie belangrijkste belanghebbenden, waaronder de aandeelhouders, werknemers, het publiek (jullie klanten), de beleidsmakers die de vergunningen verlenen om activiteiten uit te voeren, de sector reguleren en de bedrijfskosten beïnvloeden, en tot slot jullie persoonlijke financiële belangen als leiders van deze bedrijven.</w:t>
      </w:r>
    </w:p>
    <w:p w:rsidR="00EA7CFD" w:rsidRPr="00017A78" w:rsidRDefault="00061DF7" w:rsidP="008D5DC7">
      <w:pPr>
        <w:pStyle w:val="Bodytext20"/>
        <w:widowControl/>
        <w:shd w:val="clear" w:color="auto" w:fill="auto"/>
        <w:spacing w:before="0" w:after="120" w:line="276" w:lineRule="auto"/>
        <w:ind w:firstLine="0"/>
        <w:jc w:val="both"/>
      </w:pPr>
      <w:r>
        <w:t xml:space="preserve">Conventionele energiebronnen, waaronder fossiele brandstoffen en kernenergie, zorgen voor meer dan 95 % van de wereldwijde energievoorziening. Jullie sector levert alleen wat de consumenten willen en mag niet worden beschuldigd van of gestraft voor de klimaatverandering. Afstappen van fossiele brandstoffen kan op korte termijn hoge kosten met zich meebrengen voor de consument en de economie. In een groot deel van de wereld is de infrastructuur voor fossiele brandstoffen al aanwezig, en in veel ontwikkelingslanden wordt nog steeds hard gewerkt aan de ontwikkeling van nieuwe fossiele energiecapaciteit. De aanvoer van hernieuwbare energie, zoals wind- en zonne-energie, is van </w:t>
      </w:r>
      <w:r>
        <w:lastRenderedPageBreak/>
        <w:t>nature niet constant en kan de wereldeconomie nog niet van energie voorzien. Neem het standpunt in dat fossiele brandstoffen essentieel zijn om “energiearmoede” uit te bannen en economische groei te stimuleren, vooral in de ontwikkelingslanden. Sta niet toe dat milieuactivisten jullie afschilderen als mensen die zich niet bekommeren om sociale rechtvaardigheid.</w:t>
      </w:r>
    </w:p>
    <w:p w:rsidR="00EA7CFD" w:rsidRPr="00017A78" w:rsidRDefault="00061DF7" w:rsidP="008D5DC7">
      <w:pPr>
        <w:pStyle w:val="Bodytext20"/>
        <w:widowControl/>
        <w:shd w:val="clear" w:color="auto" w:fill="auto"/>
        <w:spacing w:before="0" w:after="120" w:line="276" w:lineRule="auto"/>
        <w:ind w:firstLine="0"/>
        <w:jc w:val="both"/>
      </w:pPr>
      <w:r>
        <w:t>Producenten van fossiele brandstoffen, met inbegrip van steenkool-, olie- en gasmaatschappijen, zullen in ernstige financiële moeilijkheden komen als er beleidsmaatregelen worden getroffen om de opwarming te beperken tot net onder de 2°C. Bedrijven die afhankelijk zijn van fossiele brandstoffen zullen zichzelf opnieuw moeten uitvinden of hun activiteiten moeten stopzetten. Beperking van de opwarming tot 2°C betekent dat een groot deel van de bekende fossiele brandstoffen in de bodem moet blijven en niet meer geëxploiteerd mag worden, en dus nooit winst zal opleveren voor aandeelhouders of overheden. Hierdoor zullen veel banen verloren gaan.</w:t>
      </w:r>
    </w:p>
    <w:p w:rsidR="00EA7CFD" w:rsidRPr="00017A78" w:rsidRDefault="00061DF7" w:rsidP="008D5DC7">
      <w:pPr>
        <w:pStyle w:val="Bodytext20"/>
        <w:widowControl/>
        <w:shd w:val="clear" w:color="auto" w:fill="auto"/>
        <w:spacing w:before="0" w:after="120" w:line="276" w:lineRule="auto"/>
        <w:ind w:firstLine="0"/>
        <w:jc w:val="both"/>
      </w:pPr>
      <w:r>
        <w:t>Jullie beseffen echter dat de wereldwijde uitstoot moet worden beperkt om de ergste gevolgen van de klimaatverandering te voorkomen. Een stijging van de zeespiegel, meer extreme weersomstandigheden en de daaruit voortvloeiende geopolitieke ontwrichtingen vormen ernstige risico’s voor de bestaande energievoorziening en de wereldeconomie. De toenemende schade aan het klimaat vergroot ook de kans op extreme beleidsmaatregelen en regelgeving die schadelijk zijn voor de fossiele industrie. Hoewel jullie optreden erop is gericht dit soort beleid en regelgeving te voorkomen, moeten jullie ook onderzoeken hoe jullie infrastructuur, financieel kapitaal en expertise kunnen worden gebruikt om te concurreren — en te overleven — in een opwarmende wereld.</w:t>
      </w:r>
    </w:p>
    <w:p w:rsidR="00934588" w:rsidRPr="00017A78" w:rsidRDefault="00934588" w:rsidP="008D5DC7">
      <w:pPr>
        <w:pStyle w:val="Bodytext20"/>
        <w:widowControl/>
        <w:shd w:val="clear" w:color="auto" w:fill="auto"/>
        <w:spacing w:before="0" w:after="120" w:line="276" w:lineRule="auto"/>
        <w:ind w:firstLine="0"/>
        <w:jc w:val="both"/>
        <w:rPr>
          <w:lang w:val="en-GB"/>
        </w:rPr>
      </w:pPr>
    </w:p>
    <w:p w:rsidR="00934588" w:rsidRPr="00017A78" w:rsidRDefault="00934588" w:rsidP="00017A78">
      <w:pPr>
        <w:widowControl/>
        <w:jc w:val="center"/>
      </w:pPr>
      <w:r>
        <w:t>____________</w:t>
      </w:r>
    </w:p>
    <w:p w:rsidR="00934588" w:rsidRPr="00B75ADD" w:rsidRDefault="00934588">
      <w:pPr>
        <w:pStyle w:val="Bodytext20"/>
        <w:widowControl/>
        <w:shd w:val="clear" w:color="auto" w:fill="auto"/>
        <w:spacing w:before="0" w:after="120" w:line="240" w:lineRule="auto"/>
        <w:ind w:firstLine="0"/>
        <w:jc w:val="both"/>
        <w:rPr>
          <w:lang w:val="en-GB"/>
        </w:rPr>
      </w:pPr>
    </w:p>
    <w:sectPr w:rsidR="00934588" w:rsidRPr="00B75ADD" w:rsidSect="00934588">
      <w:footerReference w:type="default" r:id="rId8"/>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588" w:rsidRPr="00934588" w:rsidRDefault="00934588" w:rsidP="00934588">
    <w:pPr>
      <w:pStyle w:val="Footer"/>
      <w:spacing w:line="240" w:lineRule="auto"/>
      <w:rPr>
        <w:i/>
        <w:sz w:val="20"/>
        <w:szCs w:val="20"/>
      </w:rPr>
    </w:pPr>
    <w:r>
      <w:rPr>
        <w:i/>
        <w:sz w:val="20"/>
        <w:szCs w:val="20"/>
      </w:rPr>
      <w:t xml:space="preserve">Ontwikkeld door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en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Change </w:t>
    </w:r>
    <w:proofErr w:type="spellStart"/>
    <w:r>
      <w:rPr>
        <w:i/>
        <w:sz w:val="20"/>
        <w:szCs w:val="20"/>
      </w:rPr>
      <w:t>Initiative</w:t>
    </w:r>
    <w:proofErr w:type="spellEnd"/>
    <w:r>
      <w:rPr>
        <w:i/>
        <w:sz w:val="20"/>
        <w:szCs w:val="20"/>
      </w:rPr>
      <w:t xml:space="preserve">. Voor het laatst bijgewerkt in september 2019. </w:t>
    </w:r>
    <w:hyperlink r:id="rId1" w:history="1">
      <w:r w:rsidR="008D5DC7">
        <w:rPr>
          <w:rStyle w:val="Hyperlink"/>
          <w:i/>
          <w:sz w:val="20"/>
          <w:szCs w:val="20"/>
        </w:rPr>
        <w:t>http://www.climatein</w:t>
      </w:r>
      <w:r w:rsidR="008D5DC7">
        <w:rPr>
          <w:rStyle w:val="Hyperlink"/>
          <w:i/>
          <w:sz w:val="20"/>
          <w:szCs w:val="20"/>
        </w:rPr>
        <w:t>t</w:t>
      </w:r>
      <w:r w:rsidR="008D5DC7">
        <w:rPr>
          <w:rStyle w:val="Hyperlink"/>
          <w:i/>
          <w:sz w:val="20"/>
          <w:szCs w:val="20"/>
        </w:rPr>
        <w:t>eractive.org/</w:t>
      </w:r>
    </w:hyperlink>
    <w:r>
      <w:rPr>
        <w: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10014B"/>
    <w:rsid w:val="001C401E"/>
    <w:rsid w:val="002A3890"/>
    <w:rsid w:val="00565AD4"/>
    <w:rsid w:val="006D77CF"/>
    <w:rsid w:val="007123EA"/>
    <w:rsid w:val="008D5DC7"/>
    <w:rsid w:val="00934588"/>
    <w:rsid w:val="00941B40"/>
    <w:rsid w:val="009C54B9"/>
    <w:rsid w:val="00B66DC1"/>
    <w:rsid w:val="00B75ADD"/>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nl-NL"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nl-NL"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nl-N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nl-N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nl-NL"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 w:type="character" w:styleId="FollowedHyperlink">
    <w:name w:val="FollowedHyperlink"/>
    <w:basedOn w:val="DefaultParagraphFont"/>
    <w:uiPriority w:val="99"/>
    <w:semiHidden/>
    <w:unhideWhenUsed/>
    <w:rsid w:val="008D5DC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nl-NL"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nl-NL"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nl-N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nl-N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nl-NL"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 w:type="character" w:styleId="FollowedHyperlink">
    <w:name w:val="FollowedHyperlink"/>
    <w:basedOn w:val="DefaultParagraphFont"/>
    <w:uiPriority w:val="99"/>
    <w:semiHidden/>
    <w:unhideWhenUsed/>
    <w:rsid w:val="008D5D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CTJJHAUHWN5E-644613129-1493</_dlc_DocId>
    <_dlc_DocIdUrl xmlns="bfc960a6-20da-4c94-8684-71380fca093b">
      <Url>http://dm2016/eesc/2019/_layouts/15/DocIdRedir.aspx?ID=CTJJHAUHWN5E-644613129-1493</Url>
      <Description>CTJJHAUHWN5E-644613129-1493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2019-12-04T12:00:00+00:00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246</Value>
      <Value>21</Value>
      <Value>152</Value>
      <Value>17</Value>
      <Value>153</Value>
      <Value>162</Value>
      <Value>11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318A0E4-E361-46D8-B002-A52E9B9F234B}"/>
</file>

<file path=customXml/itemProps2.xml><?xml version="1.0" encoding="utf-8"?>
<ds:datastoreItem xmlns:ds="http://schemas.openxmlformats.org/officeDocument/2006/customXml" ds:itemID="{AAF4181F-99E9-4091-986D-9D5B5FB49D0B}"/>
</file>

<file path=customXml/itemProps3.xml><?xml version="1.0" encoding="utf-8"?>
<ds:datastoreItem xmlns:ds="http://schemas.openxmlformats.org/officeDocument/2006/customXml" ds:itemID="{91AE0CB9-0FF1-4E6D-AB29-14234E75950A}"/>
</file>

<file path=customXml/itemProps4.xml><?xml version="1.0" encoding="utf-8"?>
<ds:datastoreItem xmlns:ds="http://schemas.openxmlformats.org/officeDocument/2006/customXml" ds:itemID="{D3E8030F-3F75-4BB6-A6CC-BD76F3557DAE}"/>
</file>

<file path=docProps/app.xml><?xml version="1.0" encoding="utf-8"?>
<Properties xmlns="http://schemas.openxmlformats.org/officeDocument/2006/extended-properties" xmlns:vt="http://schemas.openxmlformats.org/officeDocument/2006/docPropsVTypes">
  <Template>Styles.dotm</Template>
  <TotalTime>10</TotalTime>
  <Pages>3</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Werkdocumenten - Groep 2 - Conventionele energie</dc:title>
  <dc:subject>Informatiedocument</dc:subject>
  <cp:keywords>EESC-2019-05163-01-00-INFO-TRA-EN</cp:keywords>
  <dc:description>Rapporteur:  - Original language: EN - Date of document: 04/12/2019 - Date of meeting:  - External documents:  - Administrator: MME Lahousse Chloé</dc:description>
  <cp:lastModifiedBy>Anna Maria Bialkowska</cp:lastModifiedBy>
  <cp:revision>6</cp:revision>
  <dcterms:created xsi:type="dcterms:W3CDTF">2019-11-15T07:09:00Z</dcterms:created>
  <dcterms:modified xsi:type="dcterms:W3CDTF">2019-12-04T08:49:00Z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974677e9-a62f-4e5d-8e76-6d499aafcd25</vt:lpwstr>
  </property>
  <property fmtid="{D5CDD505-2E9C-101B-9397-08002B2CF9AE}" pid="9" name="AvailableTranslations">
    <vt:lpwstr>21;#IT|0774613c-01ed-4e5d-a25d-11d2388de825;#152;#MK|34ce48bb-063e-4413-a932-50853dc71c5c;#45;#NL|55c6556c-b4f4-441d-9acf-c498d4f838bd;#162;#TR|6e4ededd-04c4-4fa0-94e0-1028050302d5;#17;#ES|e7a6b05b-ae16-40c8-add9-68b64b03aeba;#246;#ME|925b3da5-5ac0-4b3c-928c-6ef66a5c9b3c;#153;#SR|7f3a1d13-b985-4bfd-981e-afe31377edff;#4;#EN|f2175f21-25d7-44a3-96da-d6a61b075e1b;#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IT|0774613c-01ed-4e5d-a25d-11d2388de825;MK|34ce48bb-063e-4413-a932-50853dc71c5c;TR|6e4ededd-04c4-4fa0-94e0-1028050302d5;ES|e7a6b05b-ae16-40c8-add9-68b64b03aeba;ME|925b3da5-5ac0-4b3c-928c-6ef66a5c9b3c;SR|7f3a1d13-b985-4bfd-981e-afe31377edff;EN|f2175f21-25d7-44a3-96da-d6a61b075e1b;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246;#ME|925b3da5-5ac0-4b3c-928c-6ef66a5c9b3c;#21;#IT|0774613c-01ed-4e5d-a25d-11d2388de825;#152;#MK|34ce48bb-063e-4413-a932-50853dc71c5c;#17;#ES|e7a6b05b-ae16-40c8-add9-68b64b03aeba;#153;#SR|7f3a1d13-b985-4bfd-981e-afe31377edff;#162;#TR|6e4ededd-04c4-4fa0-94e0-1028050302d5;#11;#INFO|d9136e7c-93a9-4c42-9d28-92b61e85f80c;#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45;#NL|55c6556c-b4f4-441d-9acf-c498d4f838bd</vt:lpwstr>
  </property>
  <property fmtid="{D5CDD505-2E9C-101B-9397-08002B2CF9AE}" pid="38" name="_docset_NoMedatataSyncRequired">
    <vt:lpwstr>False</vt:lpwstr>
  </property>
</Properties>
</file>